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F19" w:rsidRDefault="00060F19" w:rsidP="00060F19">
      <w:pPr>
        <w:pStyle w:val="af2"/>
        <w:spacing w:before="0" w:after="0"/>
        <w:rPr>
          <w:rFonts w:eastAsia="Times New Roman"/>
          <w:b/>
          <w:bCs/>
          <w:color w:val="FF0000"/>
          <w:kern w:val="1"/>
          <w:sz w:val="72"/>
          <w:szCs w:val="72"/>
        </w:rPr>
      </w:pPr>
    </w:p>
    <w:p w:rsidR="00000000" w:rsidRDefault="00F16A62">
      <w:pPr>
        <w:pStyle w:val="af2"/>
        <w:spacing w:before="0" w:after="0"/>
        <w:jc w:val="center"/>
        <w:rPr>
          <w:rFonts w:eastAsia="Times New Roman"/>
          <w:b/>
          <w:bCs/>
          <w:color w:val="FF0000"/>
          <w:kern w:val="1"/>
          <w:sz w:val="72"/>
          <w:szCs w:val="72"/>
        </w:rPr>
      </w:pPr>
      <w:r>
        <w:rPr>
          <w:rFonts w:eastAsia="Times New Roman"/>
          <w:b/>
          <w:bCs/>
          <w:color w:val="FF0000"/>
          <w:kern w:val="1"/>
          <w:sz w:val="72"/>
          <w:szCs w:val="72"/>
        </w:rPr>
        <w:t xml:space="preserve">Администрация Косоржанского сельсовета </w:t>
      </w:r>
    </w:p>
    <w:p w:rsidR="00000000" w:rsidRDefault="00F16A62">
      <w:pPr>
        <w:pStyle w:val="af2"/>
        <w:spacing w:before="0" w:after="0"/>
        <w:jc w:val="center"/>
        <w:rPr>
          <w:rFonts w:eastAsia="Times New Roman"/>
          <w:b/>
          <w:bCs/>
          <w:color w:val="FF0000"/>
          <w:kern w:val="1"/>
          <w:sz w:val="72"/>
          <w:szCs w:val="72"/>
        </w:rPr>
      </w:pPr>
      <w:r>
        <w:rPr>
          <w:rFonts w:eastAsia="Times New Roman"/>
          <w:b/>
          <w:bCs/>
          <w:color w:val="FF0000"/>
          <w:kern w:val="1"/>
          <w:sz w:val="72"/>
          <w:szCs w:val="72"/>
        </w:rPr>
        <w:t>Щигровского района Курской области</w:t>
      </w:r>
    </w:p>
    <w:p w:rsidR="00000000" w:rsidRDefault="00F16A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00000" w:rsidRDefault="00F16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</w:r>
      <w:r w:rsidR="00060F1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506.1pt;height:68.1pt;mso-position-horizontal-relative:char;mso-position-vertical-relative:line;v-text-anchor:middle" fillcolor="blue" strokecolor="#eaeaea" strokeweight=".35mm">
            <v:fill color2="#9400ed" angle="270" type="gradient"/>
            <v:stroke color2="#151515" joinstyle="miter"/>
            <v:shadow on="t" color="silver" opacity="52436f" offset=".62mm,.62mm"/>
            <v:textpath style="font-family:&quot;Arial Black&quot;;v-text-kern:t" fitpath="t" string="Бюджет для граждан"/>
            <w10:anchorlock/>
          </v:shape>
        </w:pict>
      </w:r>
    </w:p>
    <w:p w:rsidR="00000000" w:rsidRDefault="00F16A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Проект Бюджета муниципального образования «Косоржанский сельсовет» </w:t>
      </w:r>
    </w:p>
    <w:p w:rsidR="00000000" w:rsidRDefault="00F16A6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Щигровского района Курской области</w:t>
      </w:r>
    </w:p>
    <w:p w:rsidR="00000000" w:rsidRDefault="00F16A62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 2022 год и на плановый период 2023 и 2024 годов</w:t>
      </w: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60F19" w:rsidRDefault="00060F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60F19" w:rsidRDefault="00060F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60F19" w:rsidRDefault="00060F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60F19" w:rsidRDefault="00060F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Pr="00060F19" w:rsidRDefault="00F16A62" w:rsidP="00060F19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60F19">
        <w:rPr>
          <w:rFonts w:ascii="Times New Roman" w:hAnsi="Times New Roman" w:cs="Times New Roman"/>
          <w:b/>
          <w:bCs/>
          <w:color w:val="0070C0"/>
          <w:sz w:val="36"/>
          <w:szCs w:val="36"/>
        </w:rPr>
        <w:t>ЧТО ТАКОЕ БЮДЖЕТ ДЛЯ ГРАЖДАН - это упрощенная версия бюджетного документа, к</w:t>
      </w:r>
      <w:r w:rsidRPr="00060F19">
        <w:rPr>
          <w:rFonts w:ascii="Times New Roman" w:hAnsi="Times New Roman" w:cs="Times New Roman"/>
          <w:b/>
          <w:bCs/>
          <w:color w:val="0070C0"/>
          <w:sz w:val="36"/>
          <w:szCs w:val="36"/>
        </w:rPr>
        <w:t>о</w:t>
      </w:r>
      <w:r w:rsidRPr="00060F19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торая использует неформальный язык и доступные форматы, чтобы облегчить для граждан  понимание бюджета. Он содержит информационно-аналитический материал, доступный для широкого </w:t>
      </w:r>
      <w:r w:rsidRPr="00060F19">
        <w:rPr>
          <w:rFonts w:ascii="Times New Roman" w:hAnsi="Times New Roman" w:cs="Times New Roman"/>
          <w:b/>
          <w:bCs/>
          <w:color w:val="0070C0"/>
          <w:sz w:val="36"/>
          <w:szCs w:val="36"/>
        </w:rPr>
        <w:t>круга неподготовленных пользователей.</w:t>
      </w:r>
    </w:p>
    <w:p w:rsidR="00000000" w:rsidRDefault="00F16A6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F16A6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F16A6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F16A62" w:rsidP="00060F19">
      <w:pPr>
        <w:rPr>
          <w:rFonts w:ascii="Times New Roman" w:hAnsi="Times New Roman" w:cs="Times New Roman"/>
          <w:sz w:val="36"/>
          <w:szCs w:val="36"/>
        </w:rPr>
      </w:pPr>
    </w:p>
    <w:p w:rsidR="00060F19" w:rsidRDefault="00060F19" w:rsidP="00060F19">
      <w:pPr>
        <w:rPr>
          <w:rFonts w:ascii="Times New Roman" w:hAnsi="Times New Roman" w:cs="Times New Roman"/>
          <w:sz w:val="36"/>
          <w:szCs w:val="36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60F19" w:rsidRPr="00060F19" w:rsidRDefault="00F16A62">
      <w:pPr>
        <w:pStyle w:val="ac"/>
        <w:autoSpaceDE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</w:rPr>
      </w:pPr>
      <w:r w:rsidRPr="00060F19">
        <w:rPr>
          <w:rFonts w:ascii="Times New Roman" w:hAnsi="Times New Roman" w:cs="Times New Roman"/>
          <w:b/>
          <w:bCs/>
          <w:sz w:val="32"/>
          <w:szCs w:val="32"/>
          <w:highlight w:val="cyan"/>
          <w:lang w:val="ru-RU"/>
        </w:rPr>
        <w:t xml:space="preserve">Основные направления бюджетной и налоговой политики муниципального образовани </w:t>
      </w: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  <w:lang w:val="ru-RU"/>
        </w:rPr>
      </w:pPr>
      <w:r w:rsidRPr="00060F19">
        <w:rPr>
          <w:rFonts w:ascii="Times New Roman" w:hAnsi="Times New Roman" w:cs="Times New Roman"/>
          <w:b/>
          <w:bCs/>
          <w:sz w:val="32"/>
          <w:szCs w:val="32"/>
          <w:highlight w:val="cyan"/>
          <w:lang w:val="ru-RU"/>
        </w:rPr>
        <w:t>«</w:t>
      </w:r>
      <w:r w:rsidRPr="00060F19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Косоржанский</w:t>
      </w:r>
      <w:r w:rsidRPr="00060F19">
        <w:rPr>
          <w:rFonts w:ascii="Times New Roman" w:hAnsi="Times New Roman" w:cs="Times New Roman"/>
          <w:b/>
          <w:bCs/>
          <w:sz w:val="32"/>
          <w:szCs w:val="32"/>
          <w:highlight w:val="cyan"/>
          <w:lang w:val="ru-RU"/>
        </w:rPr>
        <w:t xml:space="preserve"> сельсовет» Щигровского района Курской области на 2022-2024 годы</w:t>
      </w: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  <w:lang w:val="ru-RU"/>
        </w:rPr>
      </w:pP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  <w:t>1.Основные направления бюджетной политики:</w:t>
      </w:r>
    </w:p>
    <w:p w:rsidR="00000000" w:rsidRPr="00060F19" w:rsidRDefault="00F16A6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>обеспеч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ение долгосрочной сбалансированности и устойчивости бюджета как базового принципа ответственной бюджетной политики при безусловном исполнении всех обязательств и задач, поставленных в указах Президента Российской Федерации от 7 мая 2012 года;</w:t>
      </w:r>
    </w:p>
    <w:p w:rsidR="00000000" w:rsidRPr="00060F19" w:rsidRDefault="00F16A6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>повышение кач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ества управления общественными финансами, эффективности расходования бюджетных средств, в том чи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с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ле за счет эффективности проведения закупок, исключения фактов заключения контрактов с недобросовестными поставщиками (подрядчиками, исполнителями); строгое со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блюдение бюджетно-финансовой дисциплины всеми главными распорядителями и получателями бюджетных средств;</w:t>
      </w:r>
    </w:p>
    <w:p w:rsidR="00000000" w:rsidRPr="00060F19" w:rsidRDefault="00F16A6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>формирование бюджета сельсовета на основе муниципальных</w:t>
      </w: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 программ и достижение поставленных целей, для реализации которых имеются необходимые ресурсы;</w:t>
      </w:r>
    </w:p>
    <w:p w:rsidR="00000000" w:rsidRPr="00060F19" w:rsidRDefault="00F16A6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и</w:t>
      </w: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сполнение всех решений в пределах утвержденных предельных объемов расходов на реализацию муниципальных программ (в случае, если в рамках муниципальной программы ответственный исполнитель не находит резервов для реализации решения, он должен инициировать ко</w:t>
      </w: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рректировку или отмену такого решения);</w:t>
      </w:r>
    </w:p>
    <w:p w:rsidR="00000000" w:rsidRPr="00060F19" w:rsidRDefault="00F16A6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определение механизмов взаимодействия органов государственной власти Курской области и органов местного самоуправления района в соотвествующих сферах, в рамках реализации государственных и муниципальных программ;</w:t>
      </w:r>
    </w:p>
    <w:p w:rsidR="00000000" w:rsidRPr="00060F19" w:rsidRDefault="00F16A6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фор</w:t>
      </w: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 xml:space="preserve">мирование «Бюджета для граждан» в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доступной для широкого круга заинтересованных пользователей форме, разраб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тываемого в целях вовлечения граждан в бюджетный процесс;</w:t>
      </w:r>
    </w:p>
    <w:p w:rsidR="00000000" w:rsidRPr="00060F19" w:rsidRDefault="00F16A6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>недопущение кредиторской задолженности по заработной плате;</w:t>
      </w:r>
    </w:p>
    <w:p w:rsidR="00000000" w:rsidRPr="00060F19" w:rsidRDefault="00F16A6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внедрение принципов инициативн</w:t>
      </w:r>
      <w:r w:rsidRPr="00060F19">
        <w:rPr>
          <w:rFonts w:ascii="Times New Roman" w:hAnsi="Times New Roman" w:cs="Times New Roman"/>
          <w:sz w:val="28"/>
          <w:szCs w:val="28"/>
          <w:highlight w:val="cyan"/>
          <w:lang w:val="ru-RU"/>
        </w:rPr>
        <w:t>ого бюджетирования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000000" w:rsidRPr="00060F19" w:rsidRDefault="00F16A62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</w:pPr>
      <w:r w:rsidRPr="00060F19">
        <w:rPr>
          <w:rFonts w:ascii="Times New Roman" w:hAnsi="Times New Roman" w:cs="Times New Roman"/>
          <w:b/>
          <w:bCs/>
          <w:sz w:val="24"/>
          <w:szCs w:val="24"/>
          <w:highlight w:val="cyan"/>
          <w:lang w:val="ru-RU"/>
        </w:rPr>
        <w:lastRenderedPageBreak/>
        <w:t>2.</w:t>
      </w:r>
      <w:r w:rsidRPr="00060F19"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  <w:t xml:space="preserve"> Основные направления налоговой политики.</w:t>
      </w: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</w:pPr>
    </w:p>
    <w:p w:rsidR="00000000" w:rsidRPr="00060F19" w:rsidRDefault="00F16A6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    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Мобилизация резервов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доходной части  бюджета муниципального образования «</w:t>
      </w:r>
      <w:r w:rsidRPr="00060F1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Косоржанский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сельсовет» Щигровского района Курской области;</w:t>
      </w: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    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проведение работы, направленной на повышение  объемов поступлений  налога на доходы физических лиц, проведение мероприятий по сокраще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нию задолженности по налогу на доходы физических лиц;</w:t>
      </w: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     </w:t>
      </w: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    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стоящего времени не зарегистрированы или зарегистрированы с указанием неполных сведений, необходимых для исчисления налогов;                             </w:t>
      </w: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</w:t>
      </w:r>
    </w:p>
    <w:p w:rsidR="00000000" w:rsidRPr="00060F19" w:rsidRDefault="00F16A6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ежегодная оценка эффективности предоставленных (планируемых к предоставлению) местных налоговы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х льгот, установление налоговых льгот  на ограниченный  период в зависимости от целевой направленности льготы, проведение анализа эффективности льготы для принятия решения о ее возможном продлении;</w:t>
      </w:r>
    </w:p>
    <w:p w:rsidR="00000000" w:rsidRPr="00060F19" w:rsidRDefault="00F16A62">
      <w:pPr>
        <w:pStyle w:val="ac"/>
        <w:autoSpaceDE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highlight w:val="cyan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</w:p>
    <w:p w:rsidR="00000000" w:rsidRDefault="00F16A62">
      <w:pPr>
        <w:pStyle w:val="ac"/>
        <w:autoSpaceDE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60F19">
        <w:rPr>
          <w:rFonts w:ascii="Times New Roman" w:hAnsi="Times New Roman" w:cs="Times New Roman"/>
          <w:sz w:val="28"/>
          <w:szCs w:val="28"/>
          <w:highlight w:val="cyan"/>
        </w:rPr>
        <w:t xml:space="preserve">     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дальнейшее повышение эффективности налогового адми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нистрирования и взаимодействия органов исполнительной власти района и органов местного самоуправления с  территориальными органами федеральных органов исполнительной власти, реал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зация мер по противодействию уклонению от уплаты налогов и других обязательны</w:t>
      </w:r>
      <w:r w:rsidRPr="00060F19">
        <w:rPr>
          <w:rFonts w:ascii="Times New Roman" w:hAnsi="Times New Roman" w:cs="Times New Roman"/>
          <w:sz w:val="28"/>
          <w:szCs w:val="28"/>
          <w:highlight w:val="cyan"/>
        </w:rPr>
        <w:t>х платежей в бюджет</w:t>
      </w: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lang w:val="ru-RU"/>
        </w:rPr>
      </w:pPr>
    </w:p>
    <w:p w:rsidR="00000000" w:rsidRDefault="00060F19">
      <w:pPr>
        <w:pStyle w:val="ac"/>
        <w:autoSpaceDE w:val="0"/>
        <w:spacing w:after="0" w:line="240" w:lineRule="auto"/>
        <w:ind w:left="0"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5265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БЮДЖЕТ  –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это план доходов и расходов на определенный период</w:t>
      </w: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Доходы – Расходы = Дефицит (Профицит)</w:t>
      </w: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pStyle w:val="ac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pStyle w:val="ac"/>
        <w:ind w:left="780"/>
        <w:rPr>
          <w:rFonts w:ascii="Times New Roman" w:hAnsi="Times New Roman" w:cs="Times New Roman"/>
          <w:sz w:val="28"/>
          <w:szCs w:val="28"/>
        </w:rPr>
      </w:pPr>
      <w:r>
        <w:pict>
          <v:group id="_x0000_s1045" style="position:absolute;left:0;text-align:left;margin-left:142.2pt;margin-top:143.95pt;width:100.5pt;height:45pt;z-index:251648512;mso-wrap-distance-left:0;mso-wrap-distance-right:0" coordorigin="2844,2879" coordsize="2009,899">
            <o:lock v:ext="edit" text="t"/>
            <v:roundrect id="_x0000_s1046" style="position:absolute;left:2844;top:2879;width:2009;height:899;v-text-anchor:middle" arcsize="10923f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887;top:2922;width:1923;height:813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00000"/>
                        <w:sz w:val="36"/>
                        <w:szCs w:val="36"/>
                      </w:rPr>
                      <w:t>Доходы</w:t>
                    </w:r>
                  </w:p>
                </w:txbxContent>
              </v:textbox>
            </v:shape>
          </v:group>
        </w:pict>
      </w:r>
      <w:r>
        <w:pict>
          <v:group id="_x0000_s1048" style="position:absolute;left:0;text-align:left;margin-left:242.7pt;margin-top:143.95pt;width:100.5pt;height:45pt;z-index:251649536;mso-wrap-distance-left:0;mso-wrap-distance-right:0" coordorigin="4854,2879" coordsize="2009,899">
            <o:lock v:ext="edit" text="t"/>
            <v:roundrect id="_x0000_s1049" style="position:absolute;left:4854;top:2879;width:2009;height:899;v-text-anchor:middle" arcsize="10923f" filled="f" stroked="f"/>
            <v:shape id="_x0000_s1050" type="#_x0000_t202" style="position:absolute;left:4897;top:2922;width:1923;height:813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  <w:t>Расходы</w:t>
                    </w:r>
                  </w:p>
                </w:txbxContent>
              </v:textbox>
            </v:shape>
          </v:group>
        </w:pict>
      </w:r>
      <w:r>
        <w:pict>
          <v:group id="_x0000_s1051" style="position:absolute;left:0;text-align:left;margin-left:462.45pt;margin-top:150.95pt;width:100.5pt;height:45pt;z-index:251650560;mso-wrap-distance-left:0;mso-wrap-distance-right:0" coordorigin="9249,3019" coordsize="2009,899">
            <o:lock v:ext="edit" text="t"/>
            <v:roundrect id="_x0000_s1052" style="position:absolute;left:9249;top:3019;width:2009;height:899;v-text-anchor:middle" arcsize="10923f" filled="f" stroked="f"/>
            <v:shape id="_x0000_s1053" type="#_x0000_t202" style="position:absolute;left:9292;top:3062;width:1923;height:813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  <w:t>Доходы</w:t>
                    </w:r>
                  </w:p>
                </w:txbxContent>
              </v:textbox>
            </v:shape>
          </v:group>
        </w:pict>
      </w:r>
      <w:r>
        <w:pict>
          <v:group id="_x0000_s1054" style="position:absolute;left:0;text-align:left;margin-left:562.95pt;margin-top:150.95pt;width:100.5pt;height:45pt;z-index:251651584;mso-wrap-distance-left:0;mso-wrap-distance-right:0" coordorigin="11259,3019" coordsize="2009,899">
            <o:lock v:ext="edit" text="t"/>
            <v:roundrect id="_x0000_s1055" style="position:absolute;left:11259;top:3019;width:2009;height:899;v-text-anchor:middle" arcsize="10923f" filled="f" stroked="f"/>
            <v:shape id="_x0000_s1056" type="#_x0000_t202" style="position:absolute;left:11302;top:3062;width:1923;height:813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061D28"/>
                        <w:sz w:val="36"/>
                        <w:szCs w:val="36"/>
                      </w:rPr>
                      <w:t>Расходы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0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57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934" b="1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2105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54" b="1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060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105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934" b="1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333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54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16A62">
      <w:pPr>
        <w:pStyle w:val="ac"/>
        <w:ind w:left="7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60F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57550" cy="2752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5689" r="-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="00060F1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257550" cy="27527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5689" r="-1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16A62">
      <w:pPr>
        <w:pStyle w:val="ac"/>
        <w:ind w:left="780"/>
        <w:rPr>
          <w:rFonts w:ascii="Times New Roman" w:hAnsi="Times New Roman" w:cs="Times New Roman"/>
          <w:sz w:val="30"/>
          <w:szCs w:val="30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ДОХОДЫ БЮДЖЕТА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-  поступления денежных средств в бюджет</w:t>
      </w:r>
    </w:p>
    <w:p w:rsidR="00000000" w:rsidRDefault="00F16A62">
      <w:pPr>
        <w:autoSpaceDE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lang w:val="ru-RU"/>
        </w:rPr>
      </w:r>
      <w:r>
        <w:pict>
          <v:group id="_x0000_s1028" style="width:795.95pt;height:433.75pt;mso-wrap-distance-left:0;mso-wrap-distance-right:0;mso-position-horizontal-relative:char;mso-position-vertical-relative:line" coordsize="15918,8674">
            <o:lock v:ext="edit" text="t"/>
            <v:rect id="_x0000_s1029" style="position:absolute;width:15918;height:8674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2" o:spid="_x0000_s1030" type="#_x0000_t34" style="position:absolute;left:6039;top:-185;width:5571;height:1734;flip:x y" o:connectortype="elbow" strokeweight=".79mm"/>
            <v:shape id="_s1033" o:spid="_x0000_s1031" type="#_x0000_t34" style="position:absolute;left:8824;top:2599;width:2;height:1734;flip:y" o:connectortype="elbow" strokeweight=".79mm"/>
            <v:shape id="_s1034" o:spid="_x0000_s1032" type="#_x0000_t34" style="position:absolute;left:468;top:-185;width:5571;height:1734;flip:y" o:connectortype="elbow" strokeweight=".79mm"/>
            <v:group id="_x0000_s1033" style="position:absolute;left:5571;width:4774;height:3469;mso-wrap-distance-left:0;mso-wrap-distance-right:0" coordorigin="5571" coordsize="4774,3469">
              <o:lock v:ext="edit" text="t"/>
              <v:roundrect id="_s1035" o:spid="_x0000_s1034" style="position:absolute;left:5571;width:4774;height:3469;v-text-anchor:middle" arcsize="10923f" fillcolor="#bbe0e3" strokeweight=".26mm">
                <v:fill color2="#441f1c"/>
                <v:stroke joinstyle="miter"/>
              </v:roundrect>
              <v:shape id="_x0000_s1035" type="#_x0000_t202" style="position:absolute;left:5739;top:169;width:4436;height:3131;v-text-anchor:middle" filled="f" stroked="f">
                <v:stroke joinstyle="round"/>
                <v:textbox style="mso-rotate-with-shape:t" inset="0,0,0,0">
                  <w:txbxContent>
                    <w:p w:rsidR="00000000" w:rsidRDefault="00F16A62">
                      <w:pPr>
                        <w:jc w:val="center"/>
                      </w:pPr>
                    </w:p>
                    <w:p w:rsidR="00000000" w:rsidRDefault="00F16A62">
                      <w:pPr>
                        <w:jc w:val="center"/>
                        <w:rPr>
                          <w:rFonts w:ascii="Times New Roman" w:hAnsi="Times New Roman" w:cs="Times New Roman"/>
                          <w:sz w:val="75"/>
                          <w:szCs w:val="7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5"/>
                          <w:szCs w:val="75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  <w:sz w:val="75"/>
                          <w:szCs w:val="75"/>
                        </w:rPr>
                        <w:t>ХОДЫ</w:t>
                      </w:r>
                    </w:p>
                  </w:txbxContent>
                </v:textbox>
              </v:shape>
            </v:group>
            <v:group id="_x0000_s1036" style="position:absolute;top:5205;width:4774;height:3469;mso-wrap-distance-left:0;mso-wrap-distance-right:0" coordorigin=",5205" coordsize="4774,3469">
              <o:lock v:ext="edit" text="t"/>
              <v:roundrect id="_s1036" o:spid="_x0000_s1037" style="position:absolute;top:5205;width:4774;height:3469;v-text-anchor:middle" arcsize="10923f" fillcolor="#bbe0e3" strokeweight=".26mm">
                <v:fill color2="#441f1c"/>
                <v:stroke joinstyle="miter"/>
              </v:roundrect>
              <v:shape id="_x0000_s1038" type="#_x0000_t202" style="position:absolute;left:168;top:5374;width:4436;height:3131;v-text-anchor:middle" filled="f" stroked="f">
                <v:stroke joinstyle="round"/>
                <v:textbox style="mso-rotate-with-shape:t" inset="0,0,0,0">
                  <w:txbxContent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Налоговые доходы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*Налог на доходы физических лиц;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*Налоги на совокупный доход;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*Налоги на имущество.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*Земельный налог.</w:t>
                      </w:r>
                    </w:p>
                    <w:p w:rsidR="00000000" w:rsidRDefault="00F16A62">
                      <w:pPr>
                        <w:spacing w:after="0" w:line="240" w:lineRule="auto"/>
                      </w:pPr>
                    </w:p>
                    <w:p w:rsidR="00000000" w:rsidRDefault="00F16A62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  <v:group id="_x0000_s1039" style="position:absolute;left:5571;top:5205;width:4774;height:3469;mso-wrap-distance-left:0;mso-wrap-distance-right:0" coordorigin="5571,5205" coordsize="4774,3469">
              <o:lock v:ext="edit" text="t"/>
              <v:roundrect id="_s1037" o:spid="_x0000_s1040" style="position:absolute;left:5571;top:5205;width:4774;height:3469;v-text-anchor:middle" arcsize="10923f" fillcolor="#bbe0e3" strokeweight=".26mm">
                <v:fill color2="#441f1c"/>
                <v:stroke joinstyle="miter"/>
              </v:roundrect>
              <v:shape id="_x0000_s1041" type="#_x0000_t202" style="position:absolute;left:5739;top:5374;width:4436;height:3131;v-text-anchor:middle" filled="f" stroked="f">
                <v:stroke joinstyle="round"/>
                <v:textbox style="mso-rotate-with-shape:t" inset="0,0,0,0">
                  <w:txbxContent>
                    <w:p w:rsidR="00000000" w:rsidRDefault="00F16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Неналоговые доходы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*Доходы от использования имущес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ва.</w:t>
                      </w:r>
                    </w:p>
                    <w:p w:rsidR="00000000" w:rsidRDefault="00F16A62">
                      <w:pPr>
                        <w:spacing w:after="0" w:line="240" w:lineRule="auto"/>
                      </w:pPr>
                    </w:p>
                    <w:p w:rsidR="00000000" w:rsidRDefault="00F16A6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v:group>
            <v:group id="_x0000_s1042" style="position:absolute;left:11143;top:5205;width:4774;height:3469;mso-wrap-distance-left:0;mso-wrap-distance-right:0" coordorigin="11143,5205" coordsize="4774,3469">
              <o:lock v:ext="edit" text="t"/>
              <v:roundrect id="_s1038" o:spid="_x0000_s1043" style="position:absolute;left:11143;top:5205;width:4774;height:3469;v-text-anchor:middle" arcsize="10923f" fillcolor="#bbe0e3" strokeweight=".26mm">
                <v:fill color2="#441f1c"/>
                <v:stroke joinstyle="miter"/>
              </v:roundrect>
              <v:shape id="_x0000_s1044" type="#_x0000_t202" style="position:absolute;left:11311;top:5374;width:4436;height:3131;v-text-anchor:middle" filled="f" stroked="f">
                <v:stroke joinstyle="round"/>
                <v:textbox style="mso-rotate-with-shape:t" inset="0,0,0,0">
                  <w:txbxContent>
                    <w:p w:rsidR="00000000" w:rsidRDefault="00F16A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Безвозмездные</w:t>
                      </w:r>
                      <w:r>
                        <w:rPr>
                          <w:rFonts w:ascii="Times New Roman" w:hAnsi="Times New Roman" w:cs="Times New Roman"/>
                          <w:sz w:val="42"/>
                          <w:szCs w:val="4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пост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2"/>
                          <w:szCs w:val="42"/>
                        </w:rPr>
                        <w:t>пления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*Дотации;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*Субсидии;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*Субвенции;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*Иные межбю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джетные трансферты;</w:t>
                      </w:r>
                    </w:p>
                    <w:p w:rsidR="00000000" w:rsidRDefault="00F16A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*Прочие безвозмездные поступления (спонсорские поступления от орган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заций, граждан).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0000" w:rsidRDefault="00F16A6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0000" w:rsidRDefault="00F16A62" w:rsidP="00060F19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00000" w:rsidRPr="00060F19" w:rsidRDefault="00F16A62" w:rsidP="00060F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РАСХОДЫ БЮДЖЕТА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4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выплачиваемые из бюджета денежные средства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БЮДЖЕТНАЯ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систематизированная группировка доходов и расходов бюджета по 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днородным признакам, определяемая природой местного бюджета.</w:t>
      </w:r>
    </w:p>
    <w:p w:rsidR="00000000" w:rsidRDefault="00F16A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group id="_x0000_s1057" style="position:absolute;left:0;text-align:left;margin-left:486.75pt;margin-top:15.4pt;width:317.4pt;height:93.75pt;z-index:251652608;mso-wrap-distance-left:0;mso-wrap-distance-right:0" coordorigin="9735,308" coordsize="6347,1874">
            <o:lock v:ext="edit" text="t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58" type="#_x0000_t62" style="position:absolute;left:9735;top:308;width:6347;height:1874;v-text-anchor:middle" adj="-15428,17349" fillcolor="#dae6b6" strokecolor="#c00000" strokeweight=".26mm">
              <v:fill color2="red" type="gradient"/>
              <v:stroke color2="#3fffff"/>
            </v:shape>
            <v:shape id="_x0000_s1059" type="#_x0000_t202" style="position:absolute;left:9970;top:376;width:5877;height:1736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/>
                        <w:sz w:val="28"/>
                        <w:szCs w:val="28"/>
                      </w:rPr>
                      <w:t>Классификация расходов бюджетов –основа для построения ведомственной структуры расходов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бюджета</w:t>
                    </w:r>
                  </w:p>
                </w:txbxContent>
              </v:textbox>
            </v:shape>
          </v:group>
        </w:pic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t>(статья 19 Бюджетного кодекса):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доходов бюджетов;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расходов бюджетов;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источников финансирования дефицитов бюджетов;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ссификация операций публично-правовых образований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nil"/>
        <w:tblInd w:w="0" w:type="nil"/>
        <w:tblLayout w:type="fixed"/>
        <w:tblCellMar>
          <w:left w:w="70" w:type="dxa"/>
          <w:right w:w="70" w:type="dxa"/>
        </w:tblCellMar>
        <w:tblLook w:val="0000"/>
      </w:tblPr>
      <w:tblGrid>
        <w:gridCol w:w="1"/>
        <w:gridCol w:w="1927"/>
        <w:gridCol w:w="1041"/>
        <w:gridCol w:w="1417"/>
        <w:gridCol w:w="-4386"/>
        <w:gridCol w:w="1"/>
        <w:gridCol w:w="598"/>
        <w:gridCol w:w="620"/>
        <w:gridCol w:w="709"/>
        <w:gridCol w:w="615"/>
        <w:gridCol w:w="426"/>
        <w:gridCol w:w="708"/>
        <w:gridCol w:w="709"/>
        <w:gridCol w:w="1843"/>
        <w:gridCol w:w="1417"/>
        <w:gridCol w:w="1276"/>
        <w:gridCol w:w="3261"/>
        <w:gridCol w:w="709"/>
        <w:gridCol w:w="-12892"/>
        <w:gridCol w:w="1"/>
        <w:gridCol w:w="598"/>
        <w:gridCol w:w="620"/>
        <w:gridCol w:w="709"/>
        <w:gridCol w:w="615"/>
        <w:gridCol w:w="426"/>
        <w:gridCol w:w="708"/>
        <w:gridCol w:w="709"/>
        <w:gridCol w:w="1134"/>
        <w:gridCol w:w="709"/>
        <w:gridCol w:w="1417"/>
        <w:gridCol w:w="709"/>
        <w:gridCol w:w="567"/>
        <w:gridCol w:w="709"/>
        <w:gridCol w:w="567"/>
        <w:gridCol w:w="567"/>
        <w:gridCol w:w="709"/>
        <w:gridCol w:w="709"/>
        <w:gridCol w:w="709"/>
        <w:gridCol w:w="8612"/>
      </w:tblGrid>
      <w:tr w:rsidR="00000000" w:rsidRPr="00060F19">
        <w:trPr>
          <w:gridBefore w:val="39"/>
          <w:cantSplit/>
          <w:trHeight w:val="406"/>
        </w:trPr>
        <w:tc>
          <w:tcPr>
            <w:tcW w:w="15166" w:type="auto"/>
            <w:gridSpan w:val="0"/>
            <w:hMerge w:val="restart"/>
            <w:tcBorders>
              <w:top w:val="none" w:sz="96" w:space="0" w:color="auto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noWrap/>
            <w:textDirection w:val="tbRlV"/>
            <w:vAlign w:val="both"/>
          </w:tcPr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 xml:space="preserve">Код  </w:t>
            </w:r>
          </w:p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Г</w:t>
            </w:r>
            <w:r w:rsidRPr="00060F19">
              <w:rPr>
                <w:rFonts w:ascii="Times New Roman" w:hAnsi="Times New Roman" w:cs="Times New Roman"/>
              </w:rPr>
              <w:t xml:space="preserve">лавного </w:t>
            </w:r>
          </w:p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Р</w:t>
            </w:r>
            <w:r w:rsidRPr="00060F19">
              <w:rPr>
                <w:rFonts w:ascii="Times New Roman" w:hAnsi="Times New Roman" w:cs="Times New Roman"/>
              </w:rPr>
              <w:t xml:space="preserve">аспорядителя </w:t>
            </w:r>
          </w:p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Б</w:t>
            </w:r>
            <w:r w:rsidRPr="00060F19">
              <w:rPr>
                <w:rFonts w:ascii="Times New Roman" w:hAnsi="Times New Roman" w:cs="Times New Roman"/>
              </w:rPr>
              <w:t xml:space="preserve">юджетных </w:t>
            </w:r>
            <w:r w:rsidRPr="00060F19">
              <w:rPr>
                <w:rFonts w:ascii="Times New Roman" w:hAnsi="Times New Roman" w:cs="Times New Roman"/>
              </w:rPr>
              <w:t>С</w:t>
            </w:r>
            <w:r w:rsidRPr="00060F19">
              <w:rPr>
                <w:rFonts w:ascii="Times New Roman" w:hAnsi="Times New Roman" w:cs="Times New Roman"/>
              </w:rPr>
              <w:t>редств</w:t>
            </w:r>
          </w:p>
        </w:tc>
        <w:tc>
          <w:tcPr>
            <w:gridSpan w:val="0"/>
            <w:tcBorders>
              <w:top w:val="none" w:sz="96" w:space="0" w:color="auto"/>
              <w:left w:val="single" w:sz="8" w:space="0" w:color="FF0000"/>
              <w:bottom w:val="single" w:sz="4" w:space="0" w:color="FF0000"/>
              <w:right w:val="single" w:sz="4" w:space="0" w:color="FF0000"/>
            </w:tcBorders>
          </w:tcPr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 xml:space="preserve">Код </w:t>
            </w:r>
          </w:p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gridSpan w:val="0"/>
            <w:tcBorders>
              <w:top w:val="none" w:sz="96" w:space="0" w:color="auto"/>
              <w:left w:val="single" w:sz="8" w:space="0" w:color="FF0000"/>
              <w:bottom w:val="single" w:sz="4" w:space="0" w:color="FF0000"/>
              <w:right w:val="single" w:sz="4" w:space="0" w:color="FF0000"/>
            </w:tcBorders>
          </w:tcPr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Код подраздела</w:t>
            </w:r>
          </w:p>
        </w:tc>
        <w:tc>
          <w:tcPr>
            <w:gridSpan w:val="0"/>
            <w:tcBorders>
              <w:top w:val="none" w:sz="224" w:space="0" w:color="auto"/>
              <w:left w:val="single" w:sz="8" w:space="0" w:color="FF0000"/>
              <w:bottom w:val="single" w:sz="4" w:space="0" w:color="FF0000"/>
              <w:right w:val="single" w:sz="4" w:space="0" w:color="FF0000"/>
            </w:tcBorders>
          </w:tcPr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Цел</w:t>
            </w:r>
            <w:r w:rsidRPr="00060F19">
              <w:rPr>
                <w:rFonts w:ascii="Times New Roman" w:hAnsi="Times New Roman" w:cs="Times New Roman"/>
              </w:rPr>
              <w:t>е</w:t>
            </w:r>
            <w:r w:rsidRPr="00060F19">
              <w:rPr>
                <w:rFonts w:ascii="Times New Roman" w:hAnsi="Times New Roman" w:cs="Times New Roman"/>
              </w:rPr>
              <w:t>вая статья</w:t>
            </w:r>
          </w:p>
        </w:tc>
        <w:tc>
          <w:tcPr>
            <w:gridSpan w:val="0"/>
            <w:tcBorders>
              <w:top w:val="none" w:sz="96" w:space="0" w:color="auto"/>
              <w:left w:val="single" w:sz="8" w:space="0" w:color="FF0000"/>
              <w:bottom w:val="single" w:sz="4" w:space="0" w:color="FF0000"/>
              <w:right w:val="single" w:sz="4" w:space="0" w:color="FF0000"/>
            </w:tcBorders>
          </w:tcPr>
          <w:p w:rsidR="00000000" w:rsidRPr="00060F19" w:rsidRDefault="00F16A62" w:rsidP="00060F19">
            <w:pPr>
              <w:rPr>
                <w:rFonts w:ascii="Times New Roman" w:hAnsi="Times New Roman" w:cs="Times New Roman"/>
              </w:rPr>
            </w:pPr>
            <w:r w:rsidRPr="00060F19">
              <w:rPr>
                <w:rFonts w:ascii="Times New Roman" w:hAnsi="Times New Roman" w:cs="Times New Roman"/>
              </w:rPr>
              <w:t>Код вида расхода</w:t>
            </w:r>
          </w:p>
        </w:tc>
      </w:tr>
      <w:tr w:rsidR="00000000">
        <w:trPr>
          <w:gridBefore w:val="39"/>
          <w:cantSplit/>
          <w:trHeight w:val="1429"/>
        </w:trPr>
        <w:tc>
          <w:tcPr>
            <w:tcW w:w="15166" w:type="dxa"/>
            <w:gridSpan w:val="0"/>
            <w:hMerge/>
            <w:vMerge w:val="restart"/>
            <w:tcBorders>
              <w:top w:val="none" w:sz="96" w:space="0" w:color="auto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noWrap/>
            <w:textDirection w:val="lrTb"/>
            <w:tcFitText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22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граммное (н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граммное)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gridSpan w:val="0"/>
            <w:tcBorders>
              <w:top w:val="none" w:sz="22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gridSpan w:val="0"/>
            <w:tcBorders>
              <w:top w:val="none" w:sz="22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роприятие</w:t>
            </w:r>
          </w:p>
        </w:tc>
        <w:tc>
          <w:tcPr>
            <w:gridSpan w:val="0"/>
            <w:tcBorders>
              <w:top w:val="none" w:sz="224" w:space="0" w:color="auto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ind w:left="1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расходов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>
        <w:trPr>
          <w:gridBefore w:val="39"/>
          <w:trHeight w:val="245"/>
        </w:trPr>
        <w:tc>
          <w:tcPr>
            <w:tcW w:w="15166" w:type="dxa"/>
            <w:gridSpan w:val="0"/>
            <w:hMerge/>
            <w:vMerge w:val="restart"/>
            <w:tcBorders>
              <w:top w:val="none" w:sz="96" w:space="0" w:color="auto"/>
              <w:left w:val="single" w:sz="4" w:space="0" w:color="FF0000"/>
              <w:bottom w:val="single" w:sz="8" w:space="0" w:color="FF0000"/>
              <w:right w:val="single" w:sz="8" w:space="0" w:color="FF0000"/>
            </w:tcBorders>
            <w:noWrap/>
            <w:textDirection w:val="lrTb"/>
            <w:tcFitText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00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000000"/>
              <w:right w:val="single" w:sz="8" w:space="0" w:color="FF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00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gridSpan w:val="0"/>
            <w:tcBorders>
              <w:top w:val="none" w:sz="96" w:space="0" w:color="auto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00000" w:rsidRDefault="00F16A6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group id="_x0000_s1061" style="position:absolute;left:0;text-align:left;margin-left:11.75pt;margin-top:1.4pt;width:94.5pt;height:46.25pt;z-index:251654656;mso-wrap-distance-left:0;mso-wrap-distance-right:0;mso-position-horizontal-relative:text;mso-position-vertical-relative:text" coordorigin="235,28" coordsize="1889,924">
            <o:lock v:ext="edit" text="t"/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62" type="#_x0000_t79" style="position:absolute;left:236;top:28;width:1888;height:923;v-text-anchor:middle" strokeweight=".26mm">
              <v:fill color2="black"/>
            </v:shape>
            <v:shape id="_x0000_s1063" type="#_x0000_t202" style="position:absolute;left:235;top:336;width:1888;height:616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Уникальный код</w:t>
                    </w:r>
                    <w:r>
                      <w:t xml:space="preserve"> </w:t>
                    </w:r>
                    <w:r>
                      <w:rPr>
                        <w:b/>
                        <w:bCs/>
                        <w:color w:val="FF0000"/>
                      </w:rPr>
                      <w:t>ГРБС</w:t>
                    </w:r>
                  </w:p>
                </w:txbxContent>
              </v:textbox>
            </v:shape>
          </v:group>
        </w:pic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администрации, указанный в ведомственной структуре расходов бюджета, имеющий право распре</w:t>
      </w:r>
      <w:r>
        <w:rPr>
          <w:rFonts w:ascii="Times New Roman" w:hAnsi="Times New Roman" w:cs="Times New Roman"/>
          <w:sz w:val="28"/>
          <w:szCs w:val="28"/>
        </w:rPr>
        <w:t>делять бюджетные ассигнования и лимиты бюджетных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 между подведомственными распорядителями и (или) получателями бюджетных средств</w:t>
      </w: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бюджетных обязательств.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- год, следующий за текущим финансовым годом.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 w:rsidP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pict>
          <v:shape id="_x0000_s1026" type="#_x0000_t136" style="width:768.75pt;height:19.5pt;mso-position-horizontal-relative:char;mso-position-vertical-relative:line;v-text-anchor:middle" fillcolor="#06c" strokecolor="#9cf" strokeweight=".53mm">
            <v:fill color2="#f93"/>
            <v:stroke color2="#630" joinstyle="miter"/>
            <v:shadow on="t" color="#900" offset=".62mm,.62mm"/>
            <v:textpath style="font-family:&quot;Impact&quot;;v-text-kern:t" fitpath="t" string="Что означает принцип скользящей трехлетки ?"/>
            <w10:anchorlock/>
          </v:shape>
        </w:pict>
      </w:r>
    </w:p>
    <w:tbl>
      <w:tblPr>
        <w:tblW w:w="0" w:type="auto"/>
        <w:tblLayout w:type="fixed"/>
        <w:tblLook w:val="0000"/>
      </w:tblPr>
      <w:tblGrid>
        <w:gridCol w:w="3292"/>
        <w:gridCol w:w="2839"/>
        <w:gridCol w:w="345"/>
        <w:gridCol w:w="3184"/>
        <w:gridCol w:w="3030"/>
        <w:gridCol w:w="3338"/>
      </w:tblGrid>
      <w:tr w:rsidR="00000000">
        <w:trPr>
          <w:trHeight w:val="853"/>
        </w:trPr>
        <w:tc>
          <w:tcPr>
            <w:tcW w:w="3292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Merge w:val="restart"/>
            <w:shd w:val="clear" w:color="auto" w:fill="FFC00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2"/>
            <w:vMerge w:val="restart"/>
            <w:shd w:val="clear" w:color="auto" w:fill="00B0F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</w:tr>
      <w:tr w:rsidR="00000000">
        <w:trPr>
          <w:trHeight w:val="1053"/>
        </w:trPr>
        <w:tc>
          <w:tcPr>
            <w:tcW w:w="3292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4" w:type="dxa"/>
            <w:gridSpan w:val="2"/>
            <w:vMerge w:val="restart"/>
          </w:tcPr>
          <w:p w:rsidR="00000000" w:rsidRDefault="00060F19">
            <w:pPr>
              <w:autoSpaceDE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6667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6A6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ru-RU"/>
              </w:rPr>
              <w:t>Коррек</w:t>
            </w:r>
            <w:r w:rsidR="00F16A6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ru-RU"/>
              </w:rPr>
              <w:t>тировка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5810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vMerge w:val="restart"/>
          </w:tcPr>
          <w:p w:rsidR="00000000" w:rsidRDefault="00F16A62">
            <w:pPr>
              <w:tabs>
                <w:tab w:val="center" w:pos="1561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60" type="#_x0000_t68" style="position:absolute;left:0;text-align:left;margin-left:36.35pt;margin-top:2.85pt;width:50.6pt;height:28.95pt;z-index:251653632;mso-position-horizontal-relative:text;mso-position-vertical-relative:text;v-text-anchor:middle" strokeweight=".26mm">
                  <v:fill color2="bla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F16A62">
            <w:pPr>
              <w:tabs>
                <w:tab w:val="center" w:pos="156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F16A62">
            <w:pPr>
              <w:tabs>
                <w:tab w:val="center" w:pos="156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Разработка</w:t>
            </w:r>
          </w:p>
        </w:tc>
      </w:tr>
      <w:tr w:rsidR="00000000">
        <w:trPr>
          <w:trHeight w:val="908"/>
        </w:trPr>
        <w:tc>
          <w:tcPr>
            <w:tcW w:w="3292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 w:val="restart"/>
            <w:shd w:val="clear" w:color="auto" w:fill="FFC00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vMerge w:val="restart"/>
            <w:shd w:val="clear" w:color="auto" w:fill="00B0F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338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1085"/>
        </w:trPr>
        <w:tc>
          <w:tcPr>
            <w:tcW w:w="3292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vMerge w:val="restart"/>
          </w:tcPr>
          <w:p w:rsidR="00000000" w:rsidRDefault="00060F1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50482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16A6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ru-RU"/>
              </w:rPr>
              <w:t>Корректировка</w:t>
            </w:r>
            <w:r w:rsidR="00F16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50482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16A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060F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3905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16A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Разработка</w:t>
            </w:r>
          </w:p>
        </w:tc>
        <w:tc>
          <w:tcPr>
            <w:tcW w:w="3338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875"/>
        </w:trPr>
        <w:tc>
          <w:tcPr>
            <w:tcW w:w="3292" w:type="dxa"/>
            <w:vMerge w:val="restart"/>
            <w:shd w:val="clear" w:color="auto" w:fill="FFC00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3"/>
            <w:vMerge w:val="restart"/>
            <w:shd w:val="clear" w:color="auto" w:fill="00B0F0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030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rPr>
          <w:trHeight w:val="761"/>
        </w:trPr>
        <w:tc>
          <w:tcPr>
            <w:tcW w:w="3292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t+1</w:t>
            </w: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2839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3529" w:type="dxa"/>
            <w:gridSpan w:val="2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t+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00000" w:rsidRDefault="00F16A6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год)</w:t>
            </w:r>
          </w:p>
        </w:tc>
        <w:tc>
          <w:tcPr>
            <w:tcW w:w="3030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000000" w:rsidRDefault="00F16A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3338" w:type="dxa"/>
            <w:vMerge w:val="restart"/>
          </w:tcPr>
          <w:p w:rsidR="00000000" w:rsidRDefault="00F16A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0000" w:rsidRDefault="00F16A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 год</w:t>
            </w:r>
          </w:p>
        </w:tc>
      </w:tr>
    </w:tbl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Каждый год 3-летний период бюджетного планирования сдвигается на 1 год вперед, т.е. корректируются ранее утве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жденные параметры 1 и 2-го года, добавляются параметры 3-го года. 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F19" w:rsidRDefault="00060F19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lastRenderedPageBreak/>
        <w:pict>
          <v:group id="_x0000_s1064" style="position:absolute;left:0;text-align:left;margin-left:6.95pt;margin-top:4.95pt;width:778.55pt;height:139.2pt;z-index:251655680;mso-wrap-distance-left:0;mso-wrap-distance-right:0" coordorigin="139,99" coordsize="15570,2783">
            <o:lock v:ext="edit" text="t"/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65" type="#_x0000_t64" style="position:absolute;left:139;top:99;width:15513;height:2783;v-text-anchor:middle" adj=",10761" fillcolor="#ffc000" strokecolor="red" strokeweight=".79mm">
              <v:fill color2="#003fff"/>
              <v:stroke color2="aqua" joinstyle="miter"/>
            </v:shape>
            <v:shape id="_x0000_s1066" type="#_x0000_t202" style="position:absolute;left:195;top:460;width:15514;height:2061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autoSpaceDE w:val="0"/>
                      <w:spacing w:after="0" w:line="240" w:lineRule="auto"/>
                      <w:ind w:firstLine="360"/>
                      <w:jc w:val="both"/>
                    </w:pPr>
                  </w:p>
                  <w:p w:rsidR="00000000" w:rsidRDefault="00F16A62">
                    <w:pPr>
                      <w:autoSpaceDE w:val="0"/>
                      <w:spacing w:after="0" w:line="240" w:lineRule="auto"/>
                      <w:ind w:firstLine="36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Государственная (муниципальная) программа – это документ, определяющий:</w:t>
                    </w:r>
                  </w:p>
                  <w:p w:rsidR="00000000" w:rsidRDefault="00F16A62"/>
                </w:txbxContent>
              </v:textbox>
            </v:shape>
          </v:group>
        </w:pic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000000" w:rsidRDefault="00F16A62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цели и задачи государственной политики в определенной сфере;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000000" w:rsidRDefault="00F16A62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способы их достижения;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000000" w:rsidRDefault="00F16A62">
      <w:pPr>
        <w:shd w:val="clear" w:color="auto" w:fill="FFC00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  <w:shd w:val="clear" w:color="auto" w:fill="FF0000"/>
        </w:rPr>
        <w:t>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примерные объемы используемых финансов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Межбюджетные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</w:t>
      </w:r>
      <w:r>
        <w:rPr>
          <w:rFonts w:ascii="Times New Roman" w:hAnsi="Times New Roman" w:cs="Times New Roman"/>
          <w:sz w:val="28"/>
          <w:szCs w:val="28"/>
        </w:rPr>
        <w:t>ошений, организации и осуществления бюджетного процесса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гому бюджету бюджетной системы Российской Федерации.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Дотации </w:t>
      </w:r>
      <w:r>
        <w:rPr>
          <w:rFonts w:ascii="Times New Roman" w:hAnsi="Times New Roman" w:cs="Times New Roman"/>
          <w:sz w:val="28"/>
          <w:szCs w:val="28"/>
        </w:rPr>
        <w:t>- межбюджетные трансферты, пре</w:t>
      </w:r>
      <w:r>
        <w:rPr>
          <w:rFonts w:ascii="Times New Roman" w:hAnsi="Times New Roman" w:cs="Times New Roman"/>
          <w:sz w:val="28"/>
          <w:szCs w:val="28"/>
        </w:rPr>
        <w:t>доставляемые на безвозмездной и безвозвратной основе без установления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и (или) условий их использования.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Администратор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 платежей, пеней и штрафов по ним, являю</w:t>
      </w:r>
      <w:r>
        <w:rPr>
          <w:rFonts w:ascii="Times New Roman" w:hAnsi="Times New Roman" w:cs="Times New Roman"/>
          <w:sz w:val="28"/>
          <w:szCs w:val="28"/>
        </w:rPr>
        <w:t>щихся доходами бюджетов бюджетной системы Российской Федерации.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Главный администратор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- определенный решением о бюджете орган местного самоуправления, орган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стной администрации, имеющие в своем ведении администраторов доходов бюджета и (и</w:t>
      </w:r>
      <w:r>
        <w:rPr>
          <w:rFonts w:ascii="Times New Roman" w:hAnsi="Times New Roman" w:cs="Times New Roman"/>
          <w:sz w:val="28"/>
          <w:szCs w:val="28"/>
        </w:rPr>
        <w:t>ли) являющиеся администраторами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бюджета. 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орган местной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страции, имеющие право осуществлять операции с источниками финансирования дефицита бюджета.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</w:t>
      </w:r>
      <w:r>
        <w:rPr>
          <w:rFonts w:ascii="Times New Roman" w:hAnsi="Times New Roman" w:cs="Times New Roman"/>
          <w:sz w:val="28"/>
          <w:szCs w:val="28"/>
        </w:rPr>
        <w:t>говая политика на 2022 год и на плановый период 2023 и 2024 годов будет направлена на стабилизацию  местного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законодательства, а также на обеспечение роста доходов  бюджета муниципального образования « </w:t>
      </w:r>
      <w:r>
        <w:rPr>
          <w:rFonts w:ascii="Times New Roman" w:hAnsi="Times New Roman" w:cs="Times New Roman"/>
          <w:sz w:val="28"/>
          <w:szCs w:val="28"/>
        </w:rPr>
        <w:t>Косоржанский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за счет повышения эффективности администрирования действующих налоговых платежей и сборов.</w:t>
      </w: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F16A62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pict>
          <v:group id="_x0000_s1069" style="position:absolute;left:0;text-align:left;margin-left:449pt;margin-top:15.05pt;width:310.6pt;height:125.55pt;z-index:251658752;mso-wrap-distance-left:0;mso-wrap-distance-right:0" coordorigin="8980,301" coordsize="6211,2510">
            <o:lock v:ext="edit" text="t"/>
            <v:roundrect id="Скругленный прямоугольник 3" o:spid="_x0000_s1070" style="position:absolute;left:8980;top:301;width:6211;height:2510;v-text-anchor:middle" arcsize="10923f" fillcolor="#fac090" strokecolor="#385d8a" strokeweight=".71mm">
              <v:fill color2="#053f6f"/>
              <v:stroke color2="#c7a275" joinstyle="miter"/>
            </v:roundrect>
            <v:shape id="_x0000_s1071" type="#_x0000_t202" style="position:absolute;left:9102;top:422;width:5967;height:2266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2022 год –1998881 руб.</w:t>
                    </w:r>
                  </w:p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2023 год – 1153860 руб.</w:t>
                    </w:r>
                  </w:p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2024 год –1133590 руб.</w:t>
                    </w:r>
                  </w:p>
                </w:txbxContent>
              </v:textbox>
            </v:shape>
          </v:group>
        </w:pict>
      </w: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00000" w:rsidRDefault="00F16A62">
      <w:pPr>
        <w:rPr>
          <w:rFonts w:ascii="Times New Roman" w:hAnsi="Times New Roman" w:cs="Times New Roman"/>
          <w:b/>
          <w:bCs/>
          <w:color w:val="0D0D0D"/>
          <w:sz w:val="36"/>
          <w:szCs w:val="36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68" type="#_x0000_t13" style="position:absolute;margin-left:350.2pt;margin-top:-23.1pt;width:81.15pt;height:77.8pt;z-index:251657728;v-text-anchor:middle" adj="11245" fillcolor="#953735" strokecolor="#385d8a" strokeweight=".71mm">
            <v:fill color2="#6ac8ca"/>
            <v:stroke color2="#c7a275"/>
          </v:shape>
        </w:pict>
      </w:r>
      <w:r>
        <w:rPr>
          <w:rFonts w:ascii="Times New Roman" w:hAnsi="Times New Roman" w:cs="Times New Roman"/>
          <w:b/>
          <w:bCs/>
          <w:color w:val="0D0D0D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0D0D0D"/>
          <w:sz w:val="36"/>
          <w:szCs w:val="36"/>
        </w:rPr>
        <w:t xml:space="preserve">бщий объем доходов местного бюджета   </w:t>
      </w: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000000" w:rsidRDefault="00F16A62">
      <w:pPr>
        <w:pStyle w:val="ac"/>
        <w:ind w:left="78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pict>
          <v:shape id="_x0000_s1072" type="#_x0000_t13" style="position:absolute;left:0;text-align:left;margin-left:362.2pt;margin-top:36.3pt;width:81.15pt;height:77.8pt;z-index:251659776;v-text-anchor:middle" adj="11245" fillcolor="#953735" strokecolor="#385d8a" strokeweight=".71mm">
            <v:fill color2="#6ac8ca"/>
            <v:stroke color2="#c7a275"/>
          </v:shape>
        </w:pict>
      </w:r>
      <w:r>
        <w:pict>
          <v:group id="_x0000_s1073" style="position:absolute;left:0;text-align:left;margin-left:454.25pt;margin-top:.2pt;width:320.7pt;height:170.8pt;z-index:251660800;mso-wrap-distance-left:0;mso-wrap-distance-right:0" coordorigin="9085,4" coordsize="6413,3415">
            <o:lock v:ext="edit" text="t"/>
            <v:roundrect id="Скругленный прямоугольник 3" o:spid="_x0000_s1074" style="position:absolute;left:9085;top:4;width:6413;height:3415;v-text-anchor:middle" arcsize="10923f" fillcolor="#fac090" strokecolor="#385d8a" strokeweight=".71mm">
              <v:fill color2="#053f6f"/>
              <v:stroke color2="#c7a275" joinstyle="miter"/>
            </v:roundrect>
            <v:shape id="_x0000_s1075" type="#_x0000_t202" style="position:absolute;left:9251;top:170;width:6081;height:3083;v-text-anchor:middle" filled="f" stroked="f">
              <v:stroke joinstyle="round"/>
              <v:textbox style="mso-rotate-with-shape:t">
                <w:txbxContent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2022 год –1998880 руб.</w:t>
                    </w:r>
                  </w:p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2023 год – 1153860 руб.</w:t>
                    </w:r>
                  </w:p>
                  <w:p w:rsidR="00000000" w:rsidRDefault="00F16A62">
                    <w:pP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D0D0D"/>
                        <w:sz w:val="40"/>
                        <w:szCs w:val="40"/>
                      </w:rPr>
                      <w:t>На 2024 год – 1133590 руб.</w:t>
                    </w:r>
                  </w:p>
                  <w:p w:rsidR="00000000" w:rsidRDefault="00F16A62"/>
                  <w:p w:rsidR="00000000" w:rsidRDefault="00F16A62"/>
                </w:txbxContent>
              </v:textbox>
            </v:shape>
          </v:group>
        </w:pict>
      </w:r>
    </w:p>
    <w:p w:rsidR="00000000" w:rsidRDefault="00F16A6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Общий объем расходов местного бюджета </w:t>
      </w:r>
    </w:p>
    <w:p w:rsidR="00000000" w:rsidRDefault="00F16A62">
      <w:pPr>
        <w:pStyle w:val="ac"/>
        <w:autoSpaceDE w:val="0"/>
        <w:ind w:left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060F19" w:rsidRDefault="00060F19">
      <w:pPr>
        <w:pStyle w:val="ac"/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16A62">
      <w:pPr>
        <w:pStyle w:val="ac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Доходы бюджета</w:t>
      </w:r>
    </w:p>
    <w:p w:rsidR="00000000" w:rsidRDefault="00F16A62">
      <w:pPr>
        <w:pStyle w:val="ac"/>
        <w:autoSpaceDE w:val="0"/>
        <w:spacing w:after="0" w:line="240" w:lineRule="auto"/>
        <w:ind w:left="1080"/>
        <w:rPr>
          <w:rFonts w:ascii="Times New Roman" w:hAnsi="Times New Roman" w:cs="Times New Roman"/>
          <w:spacing w:val="2"/>
          <w:sz w:val="36"/>
          <w:szCs w:val="36"/>
        </w:rPr>
      </w:pPr>
    </w:p>
    <w:p w:rsidR="00000000" w:rsidRDefault="00F16A62">
      <w:pPr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Объем и структура  доходов в д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инамике бюджета Косоржанского сельсовета Щигровск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о</w:t>
      </w: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го района Курской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</w:p>
    <w:tbl>
      <w:tblPr>
        <w:tblW w:w="0" w:type="auto"/>
        <w:tblInd w:w="1249" w:type="dxa"/>
        <w:tblLayout w:type="fixed"/>
        <w:tblLook w:val="0000"/>
      </w:tblPr>
      <w:tblGrid>
        <w:gridCol w:w="3242"/>
        <w:gridCol w:w="1826"/>
        <w:gridCol w:w="1345"/>
        <w:gridCol w:w="1826"/>
        <w:gridCol w:w="1345"/>
        <w:gridCol w:w="1826"/>
        <w:gridCol w:w="1355"/>
      </w:tblGrid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00000">
        <w:trPr>
          <w:trHeight w:val="1448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объеме бюджета, %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объеме бюджета, %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 общем объеме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юджета, %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 том числе: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1998,88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1153,86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1133,59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доходы, в т.ч.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765,06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765,06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765,06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67,49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1233,82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388,8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368,53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32,51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1141,35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293,25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269,65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92,470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95,548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98,884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000000">
        <w:trPr>
          <w:trHeight w:val="57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</w:rPr>
      </w:pPr>
    </w:p>
    <w:p w:rsidR="00000000" w:rsidRDefault="00F16A62">
      <w:pPr>
        <w:spacing w:after="0" w:line="240" w:lineRule="auto"/>
        <w:ind w:right="-81"/>
        <w:rPr>
          <w:rFonts w:ascii="Times New Roman" w:hAnsi="Times New Roman" w:cs="Times New Roman"/>
          <w:b/>
          <w:bCs/>
          <w:spacing w:val="2"/>
          <w:sz w:val="40"/>
          <w:szCs w:val="40"/>
        </w:rPr>
      </w:pPr>
    </w:p>
    <w:p w:rsidR="00000000" w:rsidRDefault="00060F19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pacing w:val="2"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2285365" cy="1202690"/>
            <wp:effectExtent l="19050" t="0" r="635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62">
        <w:rPr>
          <w:rFonts w:ascii="Times New Roman" w:hAnsi="Times New Roman" w:cs="Times New Roman"/>
          <w:b/>
          <w:bCs/>
          <w:spacing w:val="2"/>
          <w:sz w:val="40"/>
          <w:szCs w:val="40"/>
        </w:rPr>
        <w:t>Р</w:t>
      </w:r>
      <w:r w:rsidR="00F16A62">
        <w:rPr>
          <w:rFonts w:ascii="Times New Roman" w:hAnsi="Times New Roman" w:cs="Times New Roman"/>
          <w:b/>
          <w:bCs/>
          <w:spacing w:val="2"/>
          <w:sz w:val="40"/>
          <w:szCs w:val="40"/>
        </w:rPr>
        <w:t>асходы бюджета</w:t>
      </w: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 xml:space="preserve">Структура расходов бюджета Косоржанского сельсовета </w:t>
      </w: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 xml:space="preserve">Щигровского района Курской области на 2022 год по основным </w:t>
      </w:r>
      <w:r>
        <w:rPr>
          <w:rFonts w:ascii="Times New Roman" w:hAnsi="Times New Roman" w:cs="Times New Roman"/>
          <w:b/>
          <w:bCs/>
          <w:color w:val="1F497D"/>
          <w:spacing w:val="2"/>
          <w:sz w:val="36"/>
          <w:szCs w:val="36"/>
        </w:rPr>
        <w:t>разделам</w:t>
      </w:r>
    </w:p>
    <w:p w:rsidR="00000000" w:rsidRDefault="00F16A6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000000" w:rsidRDefault="00F16A6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000000" w:rsidRDefault="00F16A62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1F497D"/>
          <w:sz w:val="32"/>
          <w:szCs w:val="32"/>
        </w:rPr>
      </w:pP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Наибольшую долю в расходах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>Косоржанского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на 2022 год 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составили расходы по разделу «Общегосударственные вопросы» - 88 %, </w:t>
      </w:r>
    </w:p>
    <w:p w:rsidR="00000000" w:rsidRDefault="00F16A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2"/>
          <w:sz w:val="28"/>
          <w:szCs w:val="28"/>
        </w:rPr>
        <w:t>остальные разделы составляют 12 %, из них: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«Национальная оборона» - 4,6 %;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"Национальная безо</w:t>
      </w:r>
      <w:r>
        <w:rPr>
          <w:rFonts w:ascii="Times New Roman" w:hAnsi="Times New Roman" w:cs="Times New Roman"/>
          <w:spacing w:val="2"/>
          <w:sz w:val="28"/>
          <w:szCs w:val="28"/>
        </w:rPr>
        <w:t>пасность и правоохранительная деятельность" - 0,1%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"Национальная экономика" - 0,1%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«Жилищно-коммунальное хозяйство» - 3,4%</w:t>
      </w:r>
    </w:p>
    <w:p w:rsidR="00000000" w:rsidRDefault="00F16A6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2"/>
          <w:sz w:val="28"/>
          <w:szCs w:val="28"/>
        </w:rPr>
        <w:t>«Социальная политика»-3,8 %</w:t>
      </w:r>
    </w:p>
    <w:p w:rsidR="00000000" w:rsidRDefault="00F16A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</w:p>
    <w:p w:rsidR="00000000" w:rsidRDefault="00F16A62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>Динамика расходов бюджета</w:t>
      </w:r>
    </w:p>
    <w:p w:rsidR="00000000" w:rsidRDefault="00F16A6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12F51"/>
          <w:spacing w:val="2"/>
          <w:sz w:val="36"/>
          <w:szCs w:val="36"/>
        </w:rPr>
        <w:t xml:space="preserve">Косоржанского сельсовета Щигровского 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района Курской облас</w:t>
      </w:r>
      <w:r>
        <w:rPr>
          <w:rFonts w:ascii="Times New Roman" w:hAnsi="Times New Roman" w:cs="Times New Roman"/>
          <w:b/>
          <w:bCs/>
          <w:spacing w:val="2"/>
          <w:sz w:val="36"/>
          <w:szCs w:val="36"/>
        </w:rPr>
        <w:t>ти</w:t>
      </w:r>
    </w:p>
    <w:p w:rsidR="00000000" w:rsidRDefault="00F16A62">
      <w:pPr>
        <w:jc w:val="center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( тыс.рублей)</w:t>
      </w:r>
    </w:p>
    <w:tbl>
      <w:tblPr>
        <w:tblW w:w="0" w:type="auto"/>
        <w:tblInd w:w="2064" w:type="dxa"/>
        <w:tblLayout w:type="fixed"/>
        <w:tblLook w:val="0000"/>
      </w:tblPr>
      <w:tblGrid>
        <w:gridCol w:w="4588"/>
        <w:gridCol w:w="4587"/>
        <w:gridCol w:w="1987"/>
        <w:gridCol w:w="1987"/>
        <w:gridCol w:w="1881"/>
      </w:tblGrid>
      <w:tr w:rsidR="00000000">
        <w:trPr>
          <w:trHeight w:val="2016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Раздел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Наименование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ind w:left="-435" w:right="5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2022 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г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2024 г</w:t>
            </w:r>
          </w:p>
        </w:tc>
      </w:tr>
      <w:tr w:rsidR="00000000">
        <w:trPr>
          <w:trHeight w:val="615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1998,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1153,86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1133,59</w:t>
            </w:r>
          </w:p>
        </w:tc>
      </w:tr>
      <w:tr w:rsidR="00000000">
        <w:trPr>
          <w:trHeight w:val="322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631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</w:t>
            </w:r>
          </w:p>
          <w:p w:rsidR="00000000" w:rsidRDefault="00F1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1760,96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878,78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972,97</w:t>
            </w:r>
          </w:p>
        </w:tc>
      </w:tr>
      <w:tr w:rsidR="00000000">
        <w:trPr>
          <w:trHeight w:val="669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92,470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95,548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98,884</w:t>
            </w:r>
          </w:p>
        </w:tc>
      </w:tr>
      <w:tr w:rsidR="00000000">
        <w:trPr>
          <w:trHeight w:val="669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000">
        <w:trPr>
          <w:trHeight w:val="669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000">
        <w:trPr>
          <w:trHeight w:val="322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Жил</w:t>
            </w:r>
            <w:r>
              <w:rPr>
                <w:rFonts w:ascii="Times New Roman" w:hAnsi="Times New Roman" w:cs="Times New Roman"/>
                <w:color w:val="008080"/>
                <w:sz w:val="28"/>
                <w:szCs w:val="28"/>
              </w:rPr>
              <w:t>ищно-коммунальное хозяйство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67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87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8080"/>
                <w:sz w:val="28"/>
                <w:szCs w:val="28"/>
              </w:rPr>
              <w:t>10</w:t>
            </w:r>
          </w:p>
        </w:tc>
      </w:tr>
      <w:tr w:rsidR="00000000">
        <w:trPr>
          <w:trHeight w:val="471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75,45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65,07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2FA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000000" w:rsidRDefault="00F16A62">
      <w:pPr>
        <w:sectPr w:rsidR="00000000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000000" w:rsidRDefault="00F16A62">
      <w:pPr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000000" w:rsidRDefault="00F16A6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000000" w:rsidRDefault="00060F19">
      <w:pPr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-228600</wp:posOffset>
            </wp:positionV>
            <wp:extent cx="2399665" cy="1431290"/>
            <wp:effectExtent l="19050" t="0" r="63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-228600</wp:posOffset>
            </wp:positionV>
            <wp:extent cx="2056765" cy="1485265"/>
            <wp:effectExtent l="19050" t="0" r="63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8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A62"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>Р</w:t>
      </w:r>
      <w:r w:rsidR="00F16A62"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асходы </w:t>
      </w:r>
      <w:r w:rsidR="00F16A62"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 бюджета </w:t>
      </w:r>
    </w:p>
    <w:p w:rsidR="00000000" w:rsidRDefault="00F16A62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>на реализацию муниципальных программ</w:t>
      </w:r>
    </w:p>
    <w:p w:rsidR="00000000" w:rsidRDefault="00F16A62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в Косоржанском сельсовете Щигровского района </w:t>
      </w:r>
    </w:p>
    <w:p w:rsidR="00000000" w:rsidRPr="00060F19" w:rsidRDefault="00F16A62" w:rsidP="00060F19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 w:cs="Times New Roman"/>
          <w:b/>
          <w:bCs/>
          <w:shadow/>
          <w:color w:val="000000"/>
          <w:spacing w:val="2"/>
          <w:sz w:val="36"/>
          <w:szCs w:val="36"/>
        </w:rPr>
        <w:t xml:space="preserve">Курской области </w:t>
      </w:r>
    </w:p>
    <w:p w:rsidR="00000000" w:rsidRDefault="00F16A62">
      <w:pPr>
        <w:jc w:val="center"/>
        <w:rPr>
          <w:rFonts w:ascii="Times New Roman" w:hAnsi="Times New Roman" w:cs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60066"/>
          <w:spacing w:val="2"/>
          <w:sz w:val="28"/>
          <w:szCs w:val="28"/>
        </w:rPr>
        <w:t>(тыс.рублей)</w:t>
      </w:r>
    </w:p>
    <w:tbl>
      <w:tblPr>
        <w:tblW w:w="0" w:type="auto"/>
        <w:tblInd w:w="88" w:type="dxa"/>
        <w:tblLayout w:type="fixed"/>
        <w:tblLook w:val="0000"/>
      </w:tblPr>
      <w:tblGrid>
        <w:gridCol w:w="7690"/>
        <w:gridCol w:w="1765"/>
        <w:gridCol w:w="1563"/>
        <w:gridCol w:w="1830"/>
        <w:gridCol w:w="1939"/>
      </w:tblGrid>
      <w:tr w:rsidR="00000000">
        <w:trPr>
          <w:trHeight w:val="495"/>
        </w:trPr>
        <w:tc>
          <w:tcPr>
            <w:tcW w:w="7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программы (подпрограммы)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2022 год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2023 год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на 2024 год</w:t>
            </w:r>
          </w:p>
        </w:tc>
      </w:tr>
      <w:tr w:rsidR="00000000">
        <w:trPr>
          <w:trHeight w:val="240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F16A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259,42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5,07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00000">
        <w:trPr>
          <w:trHeight w:val="555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65,07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555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зма"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555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 « Комплексное развитие сельской территории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00000">
        <w:trPr>
          <w:trHeight w:val="659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ая программа "Организация и содержание мест захоронения"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659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ая программа «Обеспечение доступным и комфортным жильем и комм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нальными услугами граждан в муниципальном образовании»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07 3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659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"Комплекс мер по профилактике правонарушений"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659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659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субъектов малого и среднего предпринимательс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ва"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360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 муниципальной службы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00000">
        <w:trPr>
          <w:trHeight w:val="360"/>
        </w:trPr>
        <w:tc>
          <w:tcPr>
            <w:tcW w:w="7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F16A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«Развитие и укрепление материально-технической базы»</w:t>
            </w:r>
          </w:p>
        </w:tc>
        <w:tc>
          <w:tcPr>
            <w:tcW w:w="17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18 1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110,97</w:t>
            </w:r>
          </w:p>
        </w:tc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16A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000000" w:rsidRPr="00060F19" w:rsidRDefault="00060F19" w:rsidP="00060F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  <w:sectPr w:rsidR="00000000" w:rsidRPr="00060F19">
          <w:footnotePr>
            <w:pos w:val="beneathText"/>
          </w:footnotePr>
          <w:pgSz w:w="16837" w:h="11905" w:orient="landscape"/>
          <w:pgMar w:top="567" w:right="567" w:bottom="567" w:left="567" w:header="720" w:footer="720" w:gutter="0"/>
          <w:cols w:space="720"/>
          <w:docGrid w:linePitch="360"/>
        </w:sectPr>
      </w:pPr>
      <w:r>
        <w:rPr>
          <w:noProof/>
          <w:lang w:eastAsia="ru-RU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7341235</wp:posOffset>
            </wp:positionH>
            <wp:positionV relativeFrom="paragraph">
              <wp:posOffset>87630</wp:posOffset>
            </wp:positionV>
            <wp:extent cx="2056765" cy="1142365"/>
            <wp:effectExtent l="19050" t="0" r="63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16A62">
      <w:pPr>
        <w:pStyle w:val="ac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6A62" w:rsidRDefault="00060F19">
      <w:pPr>
        <w:pStyle w:val="ac"/>
        <w:autoSpaceDE w:val="0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6972300" cy="77533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75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A62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60F19"/>
    <w:rsid w:val="00060F19"/>
    <w:rsid w:val="00F1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s1032"/>
        <o:r id="V:Rule4" type="connector" idref="#_s1033"/>
        <o:r id="V:Rule6" type="connector" idref="#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Heading2Char">
    <w:name w:val="Heading 2 Char"/>
    <w:basedOn w:val="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basedOn w:val="1"/>
    <w:rPr>
      <w:rFonts w:eastAsia="Times New Roman" w:cs="Calibri"/>
    </w:rPr>
  </w:style>
  <w:style w:type="character" w:customStyle="1" w:styleId="10">
    <w:name w:val="Основной текст1 Знак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Мой стиль Знак"/>
    <w:rPr>
      <w:rFonts w:ascii="Times New Roman" w:eastAsia="Times New Roman" w:hAnsi="Times New Roman" w:cs="Times New Roman"/>
      <w:sz w:val="20"/>
      <w:szCs w:val="20"/>
      <w:lang/>
    </w:rPr>
  </w:style>
  <w:style w:type="character" w:styleId="a4">
    <w:name w:val="Strong"/>
    <w:basedOn w:val="1"/>
    <w:qFormat/>
    <w:rPr>
      <w:b/>
      <w:bCs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BalloonTextChar">
    <w:name w:val="Balloon Text Char"/>
    <w:basedOn w:val="1"/>
    <w:rPr>
      <w:rFonts w:ascii="Times New Roman" w:eastAsia="Times New Roman" w:hAnsi="Times New Roman" w:cs="Calibri"/>
      <w:sz w:val="0"/>
      <w:szCs w:val="0"/>
    </w:rPr>
  </w:style>
  <w:style w:type="character" w:customStyle="1" w:styleId="3">
    <w:name w:val=" Знак Знак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1"/>
    <w:rPr>
      <w:rFonts w:eastAsia="Times New Roman" w:cs="Calibri"/>
      <w:sz w:val="20"/>
      <w:szCs w:val="20"/>
    </w:rPr>
  </w:style>
  <w:style w:type="character" w:customStyle="1" w:styleId="20">
    <w:name w:val=" Знак Знак2"/>
    <w:rPr>
      <w:rFonts w:eastAsia="Times New Roman"/>
      <w:sz w:val="20"/>
      <w:szCs w:val="20"/>
      <w:lang/>
    </w:rPr>
  </w:style>
  <w:style w:type="character" w:styleId="a7">
    <w:name w:val="Subtle Emphasis"/>
    <w:qFormat/>
    <w:rPr>
      <w:i/>
      <w:iCs/>
      <w:color w:val="000000"/>
    </w:rPr>
  </w:style>
  <w:style w:type="character" w:customStyle="1" w:styleId="HeaderChar">
    <w:name w:val="Header Char"/>
    <w:basedOn w:val="1"/>
    <w:rPr>
      <w:rFonts w:eastAsia="Times New Roman" w:cs="Calibri"/>
    </w:rPr>
  </w:style>
  <w:style w:type="character" w:customStyle="1" w:styleId="11">
    <w:name w:val=" Знак Знак1"/>
    <w:basedOn w:val="1"/>
  </w:style>
  <w:style w:type="character" w:customStyle="1" w:styleId="FooterChar">
    <w:name w:val="Footer Char"/>
    <w:basedOn w:val="1"/>
    <w:rPr>
      <w:rFonts w:eastAsia="Times New Roman" w:cs="Calibri"/>
    </w:rPr>
  </w:style>
  <w:style w:type="character" w:customStyle="1" w:styleId="a8">
    <w:name w:val=" Знак Знак"/>
    <w:basedOn w:val="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/>
    </w:rPr>
  </w:style>
  <w:style w:type="paragraph" w:styleId="ab">
    <w:name w:val="List"/>
    <w:basedOn w:val="aa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Мой стиль"/>
    <w:basedOn w:val="a"/>
    <w:pPr>
      <w:spacing w:after="120" w:line="240" w:lineRule="auto"/>
      <w:ind w:firstLine="567"/>
      <w:jc w:val="both"/>
    </w:pPr>
    <w:rPr>
      <w:rFonts w:ascii="Times New Roman" w:hAnsi="Times New Roman" w:cs="Times New Roman"/>
      <w:sz w:val="20"/>
      <w:szCs w:val="20"/>
      <w:lang/>
    </w:rPr>
  </w:style>
  <w:style w:type="paragraph" w:customStyle="1" w:styleId="50">
    <w:name w:val="Основной текст50"/>
    <w:basedOn w:val="a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hAnsi="Times New Roman" w:cs="Times New Roman"/>
      <w:sz w:val="20"/>
      <w:szCs w:val="20"/>
      <w:lang/>
    </w:rPr>
  </w:style>
  <w:style w:type="paragraph" w:styleId="ae">
    <w:name w:val="Balloon Text"/>
    <w:basedOn w:val="a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paragraph" w:customStyle="1" w:styleId="DecimalAligned">
    <w:name w:val="Decimal Aligned"/>
    <w:basedOn w:val="a"/>
    <w:pPr>
      <w:tabs>
        <w:tab w:val="decimal" w:pos="360"/>
      </w:tabs>
    </w:pPr>
  </w:style>
  <w:style w:type="paragraph" w:styleId="af">
    <w:name w:val="footnote text"/>
    <w:basedOn w:val="a"/>
    <w:semiHidden/>
    <w:pPr>
      <w:spacing w:after="0" w:line="240" w:lineRule="auto"/>
    </w:pPr>
    <w:rPr>
      <w:rFonts w:cs="Times New Roman"/>
      <w:sz w:val="20"/>
      <w:szCs w:val="20"/>
      <w:lang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Поповкинского сельсовета</dc:title>
  <dc:creator>Home</dc:creator>
  <cp:lastModifiedBy>Kosorja</cp:lastModifiedBy>
  <cp:revision>2</cp:revision>
  <cp:lastPrinted>2016-12-02T11:51:00Z</cp:lastPrinted>
  <dcterms:created xsi:type="dcterms:W3CDTF">2023-02-16T11:13:00Z</dcterms:created>
  <dcterms:modified xsi:type="dcterms:W3CDTF">2023-02-16T11:13:00Z</dcterms:modified>
</cp:coreProperties>
</file>